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《松江区关于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推进专业服务业高质量发展的若干措施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》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制定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00" w:firstLineChars="200"/>
        <w:textAlignment w:val="baseline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</w:rPr>
        <w:t>起草背景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今年以来，市委陈吉宁书记对服务业创新发展提出最新要求。2025年3月，上海市政府办公厅印发</w:t>
      </w:r>
      <w:r>
        <w:rPr>
          <w:rFonts w:hint="eastAsia" w:eastAsia="仿宋_GB2312" w:cs="Calibri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上海市促进服务业创新发展若干措施</w:t>
      </w:r>
      <w:r>
        <w:rPr>
          <w:rFonts w:hint="eastAsia" w:eastAsia="仿宋_GB2312" w:cs="Calibri"/>
          <w:sz w:val="32"/>
          <w:szCs w:val="32"/>
          <w:highlight w:val="none"/>
        </w:rPr>
        <w:t>》。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为贯彻落实市委、市政府工作部署，加快推进“四个区”建设，坚持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先进制造业与现代服务业“两手抓”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，深化以生产性服务业为重点、生活性服务业为支撑的现代服务业体系，以两业融合发展推进产业结构转型升级，</w:t>
      </w:r>
      <w:r>
        <w:rPr>
          <w:rFonts w:hint="eastAsia" w:eastAsia="仿宋_GB2312" w:cs="Calibri"/>
          <w:sz w:val="32"/>
          <w:szCs w:val="32"/>
          <w:highlight w:val="none"/>
        </w:rPr>
        <w:t>区发改委会同服务业各主管部门对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2024年出台的《松江区支持服务业高质量发展的若干意见》进行了研究修订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，并更名为《松江区关于推进服务业高质量发展的若干意见》。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专业服务业是以专业知识和技术为内涵，为其他产业提供高附加值服务的产业门类。专业服务业是资源高效配置的重要链接，是产业融合发展的关键纽带，也是全球产业竞争的战略制高点。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鉴于《松江区关于推进服务业高质量发展的若干意见》为原则性表述，为确保该政策在专业服务业领域从“理念”转化为“实效”，根据全区惠企政策体系工作分工，区发改委牵头其他专业服务业主管部门，在充分吸收市发改委出台的《关于进一步优化发展环境 促进上海专业服务业高质量发展的指导意见》（沪发改产〔2024〕12号）文件精神基础上，结合区情实际深入研究，</w:t>
      </w:r>
      <w:r>
        <w:rPr>
          <w:rFonts w:hint="eastAsia" w:ascii="仿宋_GB2312" w:hAnsi="仿宋_GB2312" w:cs="仿宋_GB2312"/>
          <w:bCs/>
          <w:sz w:val="32"/>
          <w:szCs w:val="32"/>
          <w:lang w:val="en" w:eastAsia="zh-CN"/>
        </w:rPr>
        <w:t>形成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《松江区关于推进专业服务业高质量发展的若干措施》（以下简称《若干措施》），填补我区专业服务业政策空白，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优化专业服务业发展环境，提升专业服务业赋能实体经济发展的能级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</w:rPr>
        <w:t>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《若干措施》主要针对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人力资源服务、</w:t>
      </w:r>
      <w:r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  <w:t>法律服务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、广告服务等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专业服务业企业（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非法人组织机构参照执行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），具体标准与《上海市专业服务业统计分类（2025）》保持一致。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《若干措施》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分为四部分，共八条措施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第一部分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为专业服务业通用型支持条款，包括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发放专业服务券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加强要素对接</w:t>
      </w:r>
      <w:r>
        <w:rPr>
          <w:rFonts w:hint="eastAsia" w:ascii="仿宋_GB2312" w:hAnsi="仿宋_GB2312" w:eastAsia="仿宋_GB2312" w:cs="仿宋_GB2312"/>
          <w:sz w:val="32"/>
          <w:szCs w:val="32"/>
        </w:rPr>
        <w:t>，支持专业服务业企业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加快构建国际服务市场网络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建设专业服务业特色产业园区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第二部分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为人力资源服务业专项条款，包括支持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优质人力资源机构与</w:t>
      </w:r>
      <w:r>
        <w:rPr>
          <w:rFonts w:hint="eastAsia" w:ascii="仿宋_GB2312" w:hAnsi="仿宋_GB2312" w:eastAsia="仿宋_GB2312" w:cs="仿宋_GB2312"/>
          <w:b w:val="0"/>
          <w:bCs w:val="0"/>
          <w:color w:val="040404"/>
          <w:sz w:val="32"/>
          <w:szCs w:val="32"/>
          <w:shd w:val="clear" w:color="auto" w:fill="FFFFFF"/>
          <w:lang w:val="en-US" w:eastAsia="zh-CN"/>
        </w:rPr>
        <w:t>“伯乐”计划项目，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支持人力资源服务企业保障实体经济企业(重大工程项目)用工等，支持</w:t>
      </w:r>
      <w:r>
        <w:rPr>
          <w:rFonts w:hint="eastAsia" w:ascii="仿宋_GB2312" w:hAnsi="仿宋_GB2312" w:eastAsia="仿宋_GB2312" w:cs="仿宋_GB2312"/>
          <w:b w:val="0"/>
          <w:bCs w:val="0"/>
          <w:color w:val="040404"/>
          <w:sz w:val="32"/>
          <w:szCs w:val="32"/>
          <w:shd w:val="clear" w:color="auto" w:fill="FFFFFF"/>
          <w:lang w:val="en-US" w:eastAsia="zh-CN"/>
        </w:rPr>
        <w:t>人力资源企业加快业态升级和数智化转型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第三部分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法律服务业专项条款，包括支持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品牌综合型、品牌专精型律师事务所及对应入围培育名单的主体；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第四部分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为广告服务业专项条款，包括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支持广告企业获得国家、市级广告协会数字广告证明商标使用许可，获评市级数字广告业高质量发展创新案例及入围案例，获得上海国际广告奖。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</w:rPr>
        <w:t>制定过程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《松江区关于推进专业服务业高质量发展的若干措施》</w:t>
      </w:r>
      <w:r>
        <w:rPr>
          <w:rFonts w:hint="default" w:ascii="Times New Roman" w:hAnsi="Times New Roman" w:cs="Times New Roman"/>
          <w:sz w:val="32"/>
          <w:szCs w:val="32"/>
        </w:rPr>
        <w:t>制定的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cs="Times New Roman"/>
          <w:sz w:val="32"/>
          <w:szCs w:val="32"/>
        </w:rPr>
        <w:t>时间节点计划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1、2025年3月，启动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文件</w:t>
      </w:r>
      <w:r>
        <w:rPr>
          <w:rFonts w:hint="default" w:ascii="Times New Roman" w:hAnsi="Times New Roman" w:cs="Times New Roman"/>
          <w:sz w:val="32"/>
          <w:szCs w:val="32"/>
        </w:rPr>
        <w:t>编制，广泛收集材料；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2、2025年4月，形成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文件</w:t>
      </w:r>
      <w:r>
        <w:rPr>
          <w:rFonts w:hint="default" w:ascii="Times New Roman" w:hAnsi="Times New Roman" w:cs="Times New Roman"/>
          <w:sz w:val="32"/>
          <w:szCs w:val="32"/>
        </w:rPr>
        <w:t>草案；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3、2025年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 w:val="32"/>
          <w:szCs w:val="32"/>
        </w:rPr>
        <w:t>月-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 w:val="32"/>
          <w:szCs w:val="32"/>
        </w:rPr>
        <w:t>月，与相关部门会商征求意见，不断完善；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4、2025年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 w:val="32"/>
          <w:szCs w:val="32"/>
        </w:rPr>
        <w:t>月-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z w:val="32"/>
          <w:szCs w:val="32"/>
        </w:rPr>
        <w:t>月，开展公众意见征集，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于门户网站</w:t>
      </w:r>
      <w:r>
        <w:rPr>
          <w:rFonts w:hint="default" w:ascii="Times New Roman" w:hAnsi="Times New Roman" w:cs="Times New Roman"/>
          <w:sz w:val="32"/>
          <w:szCs w:val="32"/>
        </w:rPr>
        <w:t>向社会公开征求公众意见；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5、2025年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 w:val="32"/>
          <w:szCs w:val="32"/>
        </w:rPr>
        <w:t>月-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z w:val="32"/>
          <w:szCs w:val="32"/>
        </w:rPr>
        <w:t>月，形成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编制说明、草案解读、</w:t>
      </w:r>
      <w:r>
        <w:rPr>
          <w:rFonts w:hint="default" w:ascii="Times New Roman" w:hAnsi="Times New Roman" w:cs="Times New Roman"/>
          <w:sz w:val="32"/>
          <w:szCs w:val="32"/>
        </w:rPr>
        <w:t>公众参与情况报告、公平竞争审查报告、本单位合法性审查报告；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6、2025年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z w:val="32"/>
          <w:szCs w:val="32"/>
        </w:rPr>
        <w:t>月，将材料提交区政府办公室进行区级合法性审查；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7、2025年9月，提请区府常务会审议并向区委汇报；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t>8、2025年10月，正式出台文件。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5" w:type="default"/>
      <w:footnotePr>
        <w:numFmt w:val="decimalEnclosedCircleChinese"/>
      </w:footnotePr>
      <w:pgSz w:w="11905" w:h="16838"/>
      <w:pgMar w:top="2098" w:right="1474" w:bottom="1984" w:left="1587" w:header="0" w:footer="1100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jc w:val="center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numFmt w:val="decimalEnclosedCircleChinese"/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NkMDQyYTEzNzBiYWFmNzE0YmQzMzJmYWI0MTZmODgifQ=="/>
  </w:docVars>
  <w:rsids>
    <w:rsidRoot w:val="00000000"/>
    <w:rsid w:val="008608E9"/>
    <w:rsid w:val="00C9289D"/>
    <w:rsid w:val="015679D0"/>
    <w:rsid w:val="015E6503"/>
    <w:rsid w:val="02983BAC"/>
    <w:rsid w:val="040A684F"/>
    <w:rsid w:val="04415D9F"/>
    <w:rsid w:val="05392FED"/>
    <w:rsid w:val="06B83AF1"/>
    <w:rsid w:val="06F84AE5"/>
    <w:rsid w:val="07F2440E"/>
    <w:rsid w:val="08485D09"/>
    <w:rsid w:val="087D5D1C"/>
    <w:rsid w:val="095C53DA"/>
    <w:rsid w:val="09886007"/>
    <w:rsid w:val="09B96053"/>
    <w:rsid w:val="09DA326D"/>
    <w:rsid w:val="0A51342A"/>
    <w:rsid w:val="0A6D7B38"/>
    <w:rsid w:val="0FD52CD4"/>
    <w:rsid w:val="0FF93184"/>
    <w:rsid w:val="10414991"/>
    <w:rsid w:val="10B169D0"/>
    <w:rsid w:val="10DC126C"/>
    <w:rsid w:val="173935B8"/>
    <w:rsid w:val="17AB4CAB"/>
    <w:rsid w:val="18153CE9"/>
    <w:rsid w:val="18363351"/>
    <w:rsid w:val="18A60DE5"/>
    <w:rsid w:val="18BF1D95"/>
    <w:rsid w:val="1A0A1015"/>
    <w:rsid w:val="1AC73A13"/>
    <w:rsid w:val="1BDC7EC5"/>
    <w:rsid w:val="1F443106"/>
    <w:rsid w:val="1FAF4211"/>
    <w:rsid w:val="21A82844"/>
    <w:rsid w:val="227E25FD"/>
    <w:rsid w:val="22E75A29"/>
    <w:rsid w:val="23C200EA"/>
    <w:rsid w:val="25FF35E2"/>
    <w:rsid w:val="2618054D"/>
    <w:rsid w:val="289724F8"/>
    <w:rsid w:val="2A70079B"/>
    <w:rsid w:val="2AC87FD0"/>
    <w:rsid w:val="2AF5268F"/>
    <w:rsid w:val="2B5F54B9"/>
    <w:rsid w:val="2E81398F"/>
    <w:rsid w:val="2EAB1BE6"/>
    <w:rsid w:val="2ED52630"/>
    <w:rsid w:val="2F6A5E92"/>
    <w:rsid w:val="2F9C21A2"/>
    <w:rsid w:val="328F7E00"/>
    <w:rsid w:val="32D22AAA"/>
    <w:rsid w:val="32DE7134"/>
    <w:rsid w:val="32F2202B"/>
    <w:rsid w:val="332A0C75"/>
    <w:rsid w:val="36B92E9D"/>
    <w:rsid w:val="38B97DD1"/>
    <w:rsid w:val="391159AF"/>
    <w:rsid w:val="39CE641A"/>
    <w:rsid w:val="3A555125"/>
    <w:rsid w:val="3A7E295B"/>
    <w:rsid w:val="3B1A72A1"/>
    <w:rsid w:val="3CEA6C43"/>
    <w:rsid w:val="3D1B01A4"/>
    <w:rsid w:val="3D4C16AB"/>
    <w:rsid w:val="3FB5178A"/>
    <w:rsid w:val="3FD341E0"/>
    <w:rsid w:val="4053216B"/>
    <w:rsid w:val="409F7FE8"/>
    <w:rsid w:val="41A07CDB"/>
    <w:rsid w:val="426B6130"/>
    <w:rsid w:val="43AE44D6"/>
    <w:rsid w:val="43EF4B3E"/>
    <w:rsid w:val="444430DC"/>
    <w:rsid w:val="45821650"/>
    <w:rsid w:val="485A2B7D"/>
    <w:rsid w:val="4AFB3F1E"/>
    <w:rsid w:val="4B2C69C6"/>
    <w:rsid w:val="4B893ACB"/>
    <w:rsid w:val="4BBF7CD4"/>
    <w:rsid w:val="4C0F2222"/>
    <w:rsid w:val="4E995C1D"/>
    <w:rsid w:val="4F895E47"/>
    <w:rsid w:val="594E3A95"/>
    <w:rsid w:val="5966544B"/>
    <w:rsid w:val="5A495721"/>
    <w:rsid w:val="5BB47FEA"/>
    <w:rsid w:val="5BD7526E"/>
    <w:rsid w:val="5CFB4BAC"/>
    <w:rsid w:val="5D9F2CDA"/>
    <w:rsid w:val="5DD15589"/>
    <w:rsid w:val="5DE810CA"/>
    <w:rsid w:val="5DFDF4D6"/>
    <w:rsid w:val="5EFC4888"/>
    <w:rsid w:val="5F7784B8"/>
    <w:rsid w:val="61AE5BE1"/>
    <w:rsid w:val="635B58F5"/>
    <w:rsid w:val="650A312E"/>
    <w:rsid w:val="651346D9"/>
    <w:rsid w:val="69214C92"/>
    <w:rsid w:val="6AC326FD"/>
    <w:rsid w:val="6C00528B"/>
    <w:rsid w:val="6C5506B8"/>
    <w:rsid w:val="6EAB3BD4"/>
    <w:rsid w:val="6F7F4719"/>
    <w:rsid w:val="70115BC1"/>
    <w:rsid w:val="714D537F"/>
    <w:rsid w:val="7150503B"/>
    <w:rsid w:val="72202B7D"/>
    <w:rsid w:val="72385CC5"/>
    <w:rsid w:val="72C42B9A"/>
    <w:rsid w:val="72DF209E"/>
    <w:rsid w:val="7313268A"/>
    <w:rsid w:val="732875F5"/>
    <w:rsid w:val="73353A6C"/>
    <w:rsid w:val="739B4217"/>
    <w:rsid w:val="755056DA"/>
    <w:rsid w:val="75EF25F8"/>
    <w:rsid w:val="75F91BD5"/>
    <w:rsid w:val="76793371"/>
    <w:rsid w:val="774D0431"/>
    <w:rsid w:val="777C4360"/>
    <w:rsid w:val="77FAA78F"/>
    <w:rsid w:val="790742C7"/>
    <w:rsid w:val="79A436FA"/>
    <w:rsid w:val="7A8772A3"/>
    <w:rsid w:val="7C320C97"/>
    <w:rsid w:val="7D6F0477"/>
    <w:rsid w:val="7EB75C7D"/>
    <w:rsid w:val="BFF74454"/>
    <w:rsid w:val="E7FFD39C"/>
    <w:rsid w:val="EEFCEFE6"/>
    <w:rsid w:val="FBB89F94"/>
    <w:rsid w:val="FBBFEF4E"/>
    <w:rsid w:val="FBDC33AD"/>
    <w:rsid w:val="FF5D72FE"/>
    <w:rsid w:val="FFDE5E21"/>
    <w:rsid w:val="FFFB41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_GB2312" w:cs="仿宋_GB2312"/>
      <w:snapToGrid w:val="0"/>
      <w:color w:val="000000"/>
      <w:kern w:val="0"/>
      <w:sz w:val="30"/>
      <w:szCs w:val="30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pPr>
      <w:ind w:firstLine="200" w:firstLineChars="200"/>
    </w:p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9">
    <w:name w:val="footnote reference"/>
    <w:basedOn w:val="8"/>
    <w:qFormat/>
    <w:uiPriority w:val="0"/>
    <w:rPr>
      <w:vertAlign w:val="superscript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12">
    <w:name w:val="网格型1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15446</Words>
  <Characters>15966</Characters>
  <TotalTime>33</TotalTime>
  <ScaleCrop>false</ScaleCrop>
  <LinksUpToDate>false</LinksUpToDate>
  <CharactersWithSpaces>16475</CharactersWithSpaces>
  <Application>WPS Office_11.8.2.10290_F1E327BC-269C-435d-A152-05C5408002CA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2024-03-31T13:55:00Z</dcterms:created>
  <dc:creator>Administrator</dc:creator>
  <cp:lastModifiedBy>haier</cp:lastModifiedBy>
  <dcterms:modified xsi:type="dcterms:W3CDTF">2025-08-06T17:13:50Z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2024-03-29T13:55:37Z</vt:filetime>
  </property>
  <property fmtid="{D5CDD505-2E9C-101B-9397-08002B2CF9AE}" pid="4" name="UsrData">
    <vt:lpwstr>660657cecc71d6001f2558a1wl</vt:lpwstr>
  </property>
  <property fmtid="{D5CDD505-2E9C-101B-9397-08002B2CF9AE}" pid="5" name="KSOProductBuildVer">
    <vt:lpwstr>2052-11.8.2.10290</vt:lpwstr>
  </property>
  <property fmtid="{D5CDD505-2E9C-101B-9397-08002B2CF9AE}" pid="6" name="ICV">
    <vt:lpwstr>623DBDC0D1674F3E9FDB2AC6B215C835_12</vt:lpwstr>
  </property>
</Properties>
</file>